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553E" w14:textId="77777777" w:rsidR="0046776E" w:rsidRPr="0046776E" w:rsidRDefault="0046776E" w:rsidP="0046776E">
      <w:pPr>
        <w:spacing w:after="0"/>
        <w:jc w:val="center"/>
        <w:rPr>
          <w:rFonts w:ascii="Arial" w:hAnsi="Arial" w:cs="Arial"/>
          <w:b/>
          <w:sz w:val="28"/>
        </w:rPr>
      </w:pPr>
      <w:r w:rsidRPr="0046776E">
        <w:rPr>
          <w:rFonts w:ascii="Arial" w:hAnsi="Arial" w:cs="Arial"/>
          <w:b/>
          <w:sz w:val="28"/>
        </w:rPr>
        <w:t xml:space="preserve">Survival Aid </w:t>
      </w:r>
      <w:proofErr w:type="gramStart"/>
      <w:r w:rsidRPr="0046776E">
        <w:rPr>
          <w:rFonts w:ascii="Arial" w:hAnsi="Arial" w:cs="Arial"/>
          <w:b/>
          <w:sz w:val="28"/>
        </w:rPr>
        <w:t>For</w:t>
      </w:r>
      <w:proofErr w:type="gramEnd"/>
      <w:r w:rsidRPr="0046776E">
        <w:rPr>
          <w:rFonts w:ascii="Arial" w:hAnsi="Arial" w:cs="Arial"/>
          <w:b/>
          <w:sz w:val="28"/>
        </w:rPr>
        <w:t xml:space="preserve"> Emergencies (SAFE) through Medicare Act </w:t>
      </w:r>
    </w:p>
    <w:p w14:paraId="6FA30A01" w14:textId="4C3E60F6" w:rsidR="0046776E" w:rsidRPr="0046776E" w:rsidRDefault="0046776E" w:rsidP="00716982">
      <w:pPr>
        <w:spacing w:after="120"/>
        <w:jc w:val="center"/>
        <w:rPr>
          <w:rFonts w:ascii="Arial" w:hAnsi="Arial" w:cs="Arial"/>
          <w:b/>
        </w:rPr>
      </w:pPr>
      <w:r w:rsidRPr="0046776E">
        <w:rPr>
          <w:rFonts w:ascii="Arial" w:hAnsi="Arial" w:cs="Arial"/>
          <w:b/>
        </w:rPr>
        <w:t>Senator Edward J. Markey &amp; Representative Maxwell</w:t>
      </w:r>
      <w:r w:rsidR="00716982">
        <w:rPr>
          <w:rFonts w:ascii="Arial" w:hAnsi="Arial" w:cs="Arial"/>
          <w:b/>
        </w:rPr>
        <w:t xml:space="preserve"> Alejandro</w:t>
      </w:r>
      <w:r w:rsidRPr="0046776E">
        <w:rPr>
          <w:rFonts w:ascii="Arial" w:hAnsi="Arial" w:cs="Arial"/>
          <w:b/>
        </w:rPr>
        <w:t xml:space="preserve"> Frost</w:t>
      </w:r>
    </w:p>
    <w:p w14:paraId="5CC3CA70" w14:textId="77777777" w:rsidR="0046776E" w:rsidRPr="0046776E" w:rsidRDefault="0046776E" w:rsidP="00716982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46776E">
        <w:rPr>
          <w:rFonts w:ascii="Arial" w:hAnsi="Arial" w:cs="Arial"/>
          <w:i/>
          <w:sz w:val="24"/>
          <w:szCs w:val="24"/>
        </w:rPr>
        <w:t xml:space="preserve">This bill would </w:t>
      </w:r>
      <w:r>
        <w:rPr>
          <w:rFonts w:ascii="Arial" w:hAnsi="Arial" w:cs="Arial"/>
          <w:i/>
          <w:sz w:val="24"/>
          <w:szCs w:val="24"/>
        </w:rPr>
        <w:t>include</w:t>
      </w:r>
      <w:r w:rsidRPr="0046776E">
        <w:t xml:space="preserve"> </w:t>
      </w:r>
      <w:r w:rsidRPr="0046776E">
        <w:rPr>
          <w:rFonts w:ascii="Arial" w:hAnsi="Arial" w:cs="Arial"/>
          <w:i/>
          <w:sz w:val="24"/>
          <w:szCs w:val="24"/>
        </w:rPr>
        <w:t>solar batteries, heat pumps, and other resiliency measure</w:t>
      </w:r>
      <w:r>
        <w:rPr>
          <w:rFonts w:ascii="Arial" w:hAnsi="Arial" w:cs="Arial"/>
          <w:i/>
          <w:sz w:val="24"/>
          <w:szCs w:val="24"/>
        </w:rPr>
        <w:t>s as eligible Medicare expenses</w:t>
      </w:r>
      <w:r w:rsidR="00D71895">
        <w:rPr>
          <w:rFonts w:ascii="Arial" w:hAnsi="Arial" w:cs="Arial"/>
          <w:i/>
          <w:sz w:val="24"/>
          <w:szCs w:val="24"/>
        </w:rPr>
        <w:t>,</w:t>
      </w:r>
      <w:r w:rsidRPr="0046776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so</w:t>
      </w:r>
      <w:r w:rsidRPr="0046776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seniors and people with disabilities can</w:t>
      </w:r>
      <w:r w:rsidRPr="0046776E">
        <w:rPr>
          <w:rFonts w:ascii="Arial" w:hAnsi="Arial" w:cs="Arial"/>
          <w:i/>
          <w:sz w:val="24"/>
          <w:szCs w:val="24"/>
        </w:rPr>
        <w:t xml:space="preserve"> install </w:t>
      </w:r>
      <w:proofErr w:type="gramStart"/>
      <w:r w:rsidRPr="0046776E">
        <w:rPr>
          <w:rFonts w:ascii="Arial" w:hAnsi="Arial" w:cs="Arial"/>
          <w:i/>
          <w:sz w:val="24"/>
          <w:szCs w:val="24"/>
        </w:rPr>
        <w:t>life-saving</w:t>
      </w:r>
      <w:proofErr w:type="gramEnd"/>
      <w:r w:rsidRPr="0046776E">
        <w:rPr>
          <w:rFonts w:ascii="Arial" w:hAnsi="Arial" w:cs="Arial"/>
          <w:i/>
          <w:sz w:val="24"/>
          <w:szCs w:val="24"/>
        </w:rPr>
        <w:t>, resilient home infrastructure to protect their health in extreme weather and blackouts</w:t>
      </w:r>
      <w:r>
        <w:rPr>
          <w:rFonts w:ascii="Arial" w:hAnsi="Arial" w:cs="Arial"/>
          <w:i/>
          <w:sz w:val="24"/>
          <w:szCs w:val="24"/>
        </w:rPr>
        <w:t>.</w:t>
      </w:r>
      <w:r w:rsidRPr="0046776E">
        <w:rPr>
          <w:rFonts w:ascii="Arial" w:hAnsi="Arial" w:cs="Arial"/>
          <w:i/>
          <w:sz w:val="24"/>
          <w:szCs w:val="24"/>
        </w:rPr>
        <w:t xml:space="preserve"> </w:t>
      </w:r>
    </w:p>
    <w:p w14:paraId="5E3A111D" w14:textId="2962E3DB" w:rsidR="0046776E" w:rsidRPr="00E46674" w:rsidRDefault="009B0700" w:rsidP="00716982">
      <w:pPr>
        <w:spacing w:after="120"/>
        <w:rPr>
          <w:rFonts w:ascii="Arial" w:hAnsi="Arial" w:cs="Arial"/>
        </w:rPr>
      </w:pPr>
      <w:r w:rsidRPr="00E46674">
        <w:rPr>
          <w:rFonts w:ascii="Arial" w:hAnsi="Arial" w:cs="Arial"/>
        </w:rPr>
        <w:t xml:space="preserve">Stronger storms and hotter heatwaves are wreaking havoc across our country, </w:t>
      </w:r>
      <w:r w:rsidR="00A05C16" w:rsidRPr="00E46674">
        <w:rPr>
          <w:rFonts w:ascii="Arial" w:hAnsi="Arial" w:cs="Arial"/>
        </w:rPr>
        <w:t>and</w:t>
      </w:r>
      <w:r w:rsidRPr="00E46674">
        <w:rPr>
          <w:rFonts w:ascii="Arial" w:hAnsi="Arial" w:cs="Arial"/>
        </w:rPr>
        <w:t xml:space="preserve"> </w:t>
      </w:r>
      <w:r w:rsidR="00D71895">
        <w:rPr>
          <w:rFonts w:ascii="Arial" w:hAnsi="Arial" w:cs="Arial"/>
        </w:rPr>
        <w:t>for those with medical conditions, extreme weather disasters pose an additionally deadly threat</w:t>
      </w:r>
      <w:r w:rsidR="00A05C16" w:rsidRPr="00E46674">
        <w:rPr>
          <w:rFonts w:ascii="Arial" w:hAnsi="Arial" w:cs="Arial"/>
        </w:rPr>
        <w:t xml:space="preserve">. Disruptions to </w:t>
      </w:r>
      <w:r w:rsidR="00D71895">
        <w:rPr>
          <w:rFonts w:ascii="Arial" w:hAnsi="Arial" w:cs="Arial"/>
        </w:rPr>
        <w:t xml:space="preserve">electric </w:t>
      </w:r>
      <w:r w:rsidR="00A05C16" w:rsidRPr="00E46674">
        <w:rPr>
          <w:rFonts w:ascii="Arial" w:hAnsi="Arial" w:cs="Arial"/>
        </w:rPr>
        <w:t>power—</w:t>
      </w:r>
      <w:r w:rsidR="00D71895">
        <w:rPr>
          <w:rFonts w:ascii="Arial" w:hAnsi="Arial" w:cs="Arial"/>
        </w:rPr>
        <w:t>whether</w:t>
      </w:r>
      <w:r w:rsidR="00A05C16" w:rsidRPr="00E46674">
        <w:rPr>
          <w:rFonts w:ascii="Arial" w:hAnsi="Arial" w:cs="Arial"/>
        </w:rPr>
        <w:t xml:space="preserve"> from hurricanes, wildfires, or </w:t>
      </w:r>
      <w:r w:rsidR="00716982">
        <w:rPr>
          <w:rFonts w:ascii="Arial" w:hAnsi="Arial" w:cs="Arial"/>
        </w:rPr>
        <w:t xml:space="preserve">other </w:t>
      </w:r>
      <w:r w:rsidR="00A05C16" w:rsidRPr="00E46674">
        <w:rPr>
          <w:rFonts w:ascii="Arial" w:hAnsi="Arial" w:cs="Arial"/>
        </w:rPr>
        <w:t>disasters—are a matter of life or death for many.</w:t>
      </w:r>
      <w:r w:rsidR="00A05C16" w:rsidRPr="00E46674">
        <w:rPr>
          <w:rStyle w:val="FootnoteReference"/>
          <w:rFonts w:ascii="Arial" w:hAnsi="Arial" w:cs="Arial"/>
        </w:rPr>
        <w:footnoteReference w:id="1"/>
      </w:r>
      <w:r w:rsidR="00A05C16" w:rsidRPr="00E46674">
        <w:rPr>
          <w:rFonts w:ascii="Arial" w:hAnsi="Arial" w:cs="Arial"/>
        </w:rPr>
        <w:t xml:space="preserve"> </w:t>
      </w:r>
      <w:r w:rsidR="00D71895">
        <w:rPr>
          <w:rFonts w:ascii="Arial" w:hAnsi="Arial" w:cs="Arial"/>
        </w:rPr>
        <w:t>During Hurricane Maria, m</w:t>
      </w:r>
      <w:r w:rsidR="00A05C16" w:rsidRPr="00E46674">
        <w:rPr>
          <w:rFonts w:ascii="Arial" w:hAnsi="Arial" w:cs="Arial"/>
        </w:rPr>
        <w:t>edical complications related to the power outage were responsible for nearly a third of the more than 4,500 deaths</w:t>
      </w:r>
      <w:r w:rsidR="00D71895">
        <w:rPr>
          <w:rFonts w:ascii="Arial" w:hAnsi="Arial" w:cs="Arial"/>
        </w:rPr>
        <w:t>,</w:t>
      </w:r>
      <w:r w:rsidR="00A05C16" w:rsidRPr="00E46674">
        <w:rPr>
          <w:rStyle w:val="FootnoteReference"/>
          <w:rFonts w:ascii="Arial" w:hAnsi="Arial" w:cs="Arial"/>
        </w:rPr>
        <w:footnoteReference w:id="2"/>
      </w:r>
      <w:r w:rsidR="00A05C16" w:rsidRPr="00E46674">
        <w:rPr>
          <w:rFonts w:ascii="Arial" w:hAnsi="Arial" w:cs="Arial"/>
        </w:rPr>
        <w:t xml:space="preserve"> and </w:t>
      </w:r>
      <w:r w:rsidR="00D71895">
        <w:rPr>
          <w:rFonts w:ascii="Arial" w:hAnsi="Arial" w:cs="Arial"/>
        </w:rPr>
        <w:t xml:space="preserve">power outages were linked to </w:t>
      </w:r>
      <w:r w:rsidR="00A05C16" w:rsidRPr="00E46674">
        <w:rPr>
          <w:rFonts w:ascii="Arial" w:hAnsi="Arial" w:cs="Arial"/>
        </w:rPr>
        <w:t>more than 15</w:t>
      </w:r>
      <w:r w:rsidR="00D71895">
        <w:rPr>
          <w:rFonts w:ascii="Arial" w:hAnsi="Arial" w:cs="Arial"/>
        </w:rPr>
        <w:t xml:space="preserve"> percent</w:t>
      </w:r>
      <w:r w:rsidR="00A05C16" w:rsidRPr="00E46674">
        <w:rPr>
          <w:rFonts w:ascii="Arial" w:hAnsi="Arial" w:cs="Arial"/>
        </w:rPr>
        <w:t xml:space="preserve"> of over 100 deaths attributed to Hurricane Irma</w:t>
      </w:r>
      <w:r w:rsidR="00D71895">
        <w:rPr>
          <w:rFonts w:ascii="Arial" w:hAnsi="Arial" w:cs="Arial"/>
        </w:rPr>
        <w:t xml:space="preserve"> in 2017.</w:t>
      </w:r>
      <w:r w:rsidR="00A05C16" w:rsidRPr="00E46674">
        <w:rPr>
          <w:rStyle w:val="FootnoteReference"/>
          <w:rFonts w:ascii="Arial" w:hAnsi="Arial" w:cs="Arial"/>
        </w:rPr>
        <w:footnoteReference w:id="3"/>
      </w:r>
      <w:r w:rsidR="001B6B5B" w:rsidRPr="00E46674">
        <w:rPr>
          <w:rFonts w:ascii="Arial" w:hAnsi="Arial" w:cs="Arial"/>
        </w:rPr>
        <w:t xml:space="preserve"> Medicare beneficiaries represent up to 90</w:t>
      </w:r>
      <w:r w:rsidR="00D71895">
        <w:rPr>
          <w:rFonts w:ascii="Arial" w:hAnsi="Arial" w:cs="Arial"/>
        </w:rPr>
        <w:t xml:space="preserve"> percent</w:t>
      </w:r>
      <w:r w:rsidR="001B6B5B" w:rsidRPr="00E46674">
        <w:rPr>
          <w:rFonts w:ascii="Arial" w:hAnsi="Arial" w:cs="Arial"/>
        </w:rPr>
        <w:t xml:space="preserve"> of the population</w:t>
      </w:r>
      <w:r w:rsidR="00D71895">
        <w:rPr>
          <w:rFonts w:ascii="Arial" w:hAnsi="Arial" w:cs="Arial"/>
        </w:rPr>
        <w:t xml:space="preserve"> dependent upon electricity for in-home medical equipment</w:t>
      </w:r>
      <w:r w:rsidR="001B6B5B" w:rsidRPr="00E46674">
        <w:rPr>
          <w:rFonts w:ascii="Arial" w:hAnsi="Arial" w:cs="Arial"/>
        </w:rPr>
        <w:t>.</w:t>
      </w:r>
      <w:r w:rsidR="001B6B5B" w:rsidRPr="00E46674">
        <w:rPr>
          <w:rStyle w:val="FootnoteReference"/>
          <w:rFonts w:ascii="Arial" w:hAnsi="Arial" w:cs="Arial"/>
        </w:rPr>
        <w:footnoteReference w:id="4"/>
      </w:r>
      <w:r w:rsidR="00A05C16" w:rsidRPr="00E46674">
        <w:rPr>
          <w:rFonts w:ascii="Arial" w:hAnsi="Arial" w:cs="Arial"/>
        </w:rPr>
        <w:t xml:space="preserve"> </w:t>
      </w:r>
      <w:r w:rsidR="00FC1DDE" w:rsidRPr="00E46674">
        <w:rPr>
          <w:rFonts w:ascii="Arial" w:hAnsi="Arial" w:cs="Arial"/>
        </w:rPr>
        <w:t>Even when the grid stays on</w:t>
      </w:r>
      <w:r w:rsidR="00D71895">
        <w:rPr>
          <w:rFonts w:ascii="Arial" w:hAnsi="Arial" w:cs="Arial"/>
        </w:rPr>
        <w:t>line</w:t>
      </w:r>
      <w:r w:rsidR="00FC1DDE" w:rsidRPr="00E46674">
        <w:rPr>
          <w:rFonts w:ascii="Arial" w:hAnsi="Arial" w:cs="Arial"/>
        </w:rPr>
        <w:t xml:space="preserve">, seniors </w:t>
      </w:r>
      <w:r w:rsidR="00D71895">
        <w:rPr>
          <w:rFonts w:ascii="Arial" w:hAnsi="Arial" w:cs="Arial"/>
        </w:rPr>
        <w:t>are disproportionately vulnerable to</w:t>
      </w:r>
      <w:r w:rsidR="00FC1DDE" w:rsidRPr="00E46674">
        <w:rPr>
          <w:rFonts w:ascii="Arial" w:hAnsi="Arial" w:cs="Arial"/>
        </w:rPr>
        <w:t xml:space="preserve"> the consequences of </w:t>
      </w:r>
      <w:r w:rsidR="00D71895">
        <w:rPr>
          <w:rFonts w:ascii="Arial" w:hAnsi="Arial" w:cs="Arial"/>
        </w:rPr>
        <w:t>living without</w:t>
      </w:r>
      <w:r w:rsidR="00D71895" w:rsidRPr="00E46674">
        <w:rPr>
          <w:rFonts w:ascii="Arial" w:hAnsi="Arial" w:cs="Arial"/>
        </w:rPr>
        <w:t xml:space="preserve"> </w:t>
      </w:r>
      <w:r w:rsidR="00FC1DDE" w:rsidRPr="00E46674">
        <w:rPr>
          <w:rFonts w:ascii="Arial" w:hAnsi="Arial" w:cs="Arial"/>
        </w:rPr>
        <w:t xml:space="preserve">home infrastructure like </w:t>
      </w:r>
      <w:r w:rsidR="00D71895">
        <w:rPr>
          <w:rFonts w:ascii="Arial" w:hAnsi="Arial" w:cs="Arial"/>
        </w:rPr>
        <w:t>air conditioning</w:t>
      </w:r>
      <w:r w:rsidR="00FC1DDE" w:rsidRPr="00E46674">
        <w:rPr>
          <w:rFonts w:ascii="Arial" w:hAnsi="Arial" w:cs="Arial"/>
        </w:rPr>
        <w:t xml:space="preserve">, which becomes deadly during </w:t>
      </w:r>
      <w:r w:rsidR="00D71895">
        <w:rPr>
          <w:rFonts w:ascii="Arial" w:hAnsi="Arial" w:cs="Arial"/>
        </w:rPr>
        <w:t>increasingly severe</w:t>
      </w:r>
      <w:r w:rsidR="00D71895" w:rsidRPr="00E46674">
        <w:rPr>
          <w:rFonts w:ascii="Arial" w:hAnsi="Arial" w:cs="Arial"/>
        </w:rPr>
        <w:t xml:space="preserve"> </w:t>
      </w:r>
      <w:r w:rsidR="00FC1DDE" w:rsidRPr="00E46674">
        <w:rPr>
          <w:rFonts w:ascii="Arial" w:hAnsi="Arial" w:cs="Arial"/>
        </w:rPr>
        <w:t>heatwaves.</w:t>
      </w:r>
      <w:r w:rsidR="00FC1DDE" w:rsidRPr="00E46674">
        <w:rPr>
          <w:rStyle w:val="FootnoteReference"/>
          <w:rFonts w:ascii="Arial" w:hAnsi="Arial" w:cs="Arial"/>
        </w:rPr>
        <w:footnoteReference w:id="5"/>
      </w:r>
      <w:r w:rsidR="00FC1DDE" w:rsidRPr="00E46674">
        <w:rPr>
          <w:rFonts w:ascii="Arial" w:hAnsi="Arial" w:cs="Arial"/>
          <w:vertAlign w:val="superscript"/>
        </w:rPr>
        <w:t>,</w:t>
      </w:r>
      <w:r w:rsidR="00FC1DDE" w:rsidRPr="00E46674">
        <w:rPr>
          <w:rStyle w:val="FootnoteReference"/>
          <w:rFonts w:ascii="Arial" w:hAnsi="Arial" w:cs="Arial"/>
        </w:rPr>
        <w:footnoteReference w:id="6"/>
      </w:r>
      <w:r w:rsidR="00E46674" w:rsidRPr="00E46674">
        <w:rPr>
          <w:rFonts w:ascii="Arial" w:hAnsi="Arial" w:cs="Arial"/>
        </w:rPr>
        <w:t xml:space="preserve"> As the climate crisis intensifies, these basic </w:t>
      </w:r>
      <w:r w:rsidR="00EC2A0C">
        <w:rPr>
          <w:rFonts w:ascii="Arial" w:hAnsi="Arial" w:cs="Arial"/>
        </w:rPr>
        <w:t xml:space="preserve">home </w:t>
      </w:r>
      <w:r w:rsidR="00E46674" w:rsidRPr="00E46674">
        <w:rPr>
          <w:rFonts w:ascii="Arial" w:hAnsi="Arial" w:cs="Arial"/>
        </w:rPr>
        <w:t xml:space="preserve">resiliency </w:t>
      </w:r>
      <w:r w:rsidR="00EC2A0C">
        <w:rPr>
          <w:rFonts w:ascii="Arial" w:hAnsi="Arial" w:cs="Arial"/>
        </w:rPr>
        <w:t>technologies</w:t>
      </w:r>
      <w:r w:rsidR="00EC2A0C" w:rsidRPr="00E46674">
        <w:rPr>
          <w:rFonts w:ascii="Arial" w:hAnsi="Arial" w:cs="Arial"/>
        </w:rPr>
        <w:t xml:space="preserve"> </w:t>
      </w:r>
      <w:r w:rsidR="00E46674" w:rsidRPr="00E46674">
        <w:rPr>
          <w:rFonts w:ascii="Arial" w:hAnsi="Arial" w:cs="Arial"/>
        </w:rPr>
        <w:t xml:space="preserve">are key medical necessities. </w:t>
      </w:r>
      <w:r w:rsidR="0046776E" w:rsidRPr="00E46674">
        <w:rPr>
          <w:rFonts w:ascii="Arial" w:hAnsi="Arial" w:cs="Arial"/>
        </w:rPr>
        <w:t xml:space="preserve">The </w:t>
      </w:r>
      <w:r w:rsidRPr="00E46674">
        <w:rPr>
          <w:rFonts w:ascii="Arial" w:hAnsi="Arial" w:cs="Arial"/>
          <w:i/>
        </w:rPr>
        <w:t>SAFE through Medicare Act</w:t>
      </w:r>
      <w:r w:rsidRPr="00E46674">
        <w:rPr>
          <w:rFonts w:ascii="Arial" w:hAnsi="Arial" w:cs="Arial"/>
        </w:rPr>
        <w:t xml:space="preserve"> </w:t>
      </w:r>
      <w:r w:rsidR="00EC2A0C">
        <w:rPr>
          <w:rFonts w:ascii="Arial" w:hAnsi="Arial" w:cs="Arial"/>
        </w:rPr>
        <w:t xml:space="preserve">would help seniors afford these technologies. This legislation </w:t>
      </w:r>
      <w:r w:rsidRPr="00E46674">
        <w:rPr>
          <w:rFonts w:ascii="Arial" w:hAnsi="Arial" w:cs="Arial"/>
        </w:rPr>
        <w:t xml:space="preserve">is a matter of </w:t>
      </w:r>
      <w:r w:rsidR="00E46674" w:rsidRPr="00E46674">
        <w:rPr>
          <w:rFonts w:ascii="Arial" w:hAnsi="Arial" w:cs="Arial"/>
        </w:rPr>
        <w:t xml:space="preserve">health justice, </w:t>
      </w:r>
      <w:r w:rsidRPr="00E46674">
        <w:rPr>
          <w:rFonts w:ascii="Arial" w:hAnsi="Arial" w:cs="Arial"/>
        </w:rPr>
        <w:t>disability justice</w:t>
      </w:r>
      <w:r w:rsidR="00E46674" w:rsidRPr="00E46674">
        <w:rPr>
          <w:rFonts w:ascii="Arial" w:hAnsi="Arial" w:cs="Arial"/>
        </w:rPr>
        <w:t>,</w:t>
      </w:r>
      <w:r w:rsidRPr="00E46674">
        <w:rPr>
          <w:rFonts w:ascii="Arial" w:hAnsi="Arial" w:cs="Arial"/>
        </w:rPr>
        <w:t xml:space="preserve"> and climate justice. </w:t>
      </w:r>
    </w:p>
    <w:p w14:paraId="74AF6AFC" w14:textId="77777777" w:rsidR="0046776E" w:rsidRPr="00E46674" w:rsidRDefault="0046776E" w:rsidP="00716982">
      <w:pPr>
        <w:spacing w:after="120"/>
        <w:rPr>
          <w:rFonts w:ascii="Arial" w:hAnsi="Arial" w:cs="Arial"/>
          <w:b/>
          <w:bCs/>
          <w:u w:val="single"/>
        </w:rPr>
      </w:pPr>
      <w:r w:rsidRPr="00E46674">
        <w:rPr>
          <w:rFonts w:ascii="Arial" w:hAnsi="Arial" w:cs="Arial"/>
        </w:rPr>
        <w:t xml:space="preserve">The </w:t>
      </w:r>
      <w:r w:rsidRPr="00E46674">
        <w:rPr>
          <w:rFonts w:ascii="Arial" w:hAnsi="Arial" w:cs="Arial"/>
          <w:b/>
        </w:rPr>
        <w:t>SAFE through Medicare Act</w:t>
      </w:r>
      <w:r w:rsidRPr="00E46674">
        <w:rPr>
          <w:rFonts w:ascii="Arial" w:hAnsi="Arial" w:cs="Arial"/>
        </w:rPr>
        <w:t xml:space="preserve"> would:</w:t>
      </w:r>
    </w:p>
    <w:p w14:paraId="08A84381" w14:textId="1D312D2C" w:rsidR="0046776E" w:rsidRPr="00E46674" w:rsidRDefault="00E46674" w:rsidP="004677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6674">
        <w:rPr>
          <w:rFonts w:ascii="Arial" w:hAnsi="Arial" w:cs="Arial"/>
        </w:rPr>
        <w:t>Expand</w:t>
      </w:r>
      <w:r w:rsidR="0046776E" w:rsidRPr="00E46674">
        <w:rPr>
          <w:rFonts w:ascii="Arial" w:hAnsi="Arial" w:cs="Arial"/>
        </w:rPr>
        <w:t xml:space="preserve"> Medicare to cover “home resiliency services</w:t>
      </w:r>
      <w:r w:rsidR="00EC2A0C">
        <w:rPr>
          <w:rFonts w:ascii="Arial" w:hAnsi="Arial" w:cs="Arial"/>
        </w:rPr>
        <w:t>,</w:t>
      </w:r>
      <w:r w:rsidR="0046776E" w:rsidRPr="00E46674">
        <w:rPr>
          <w:rFonts w:ascii="Arial" w:hAnsi="Arial" w:cs="Arial"/>
        </w:rPr>
        <w:t xml:space="preserve">” defined as items or services that the Secretary of </w:t>
      </w:r>
      <w:r w:rsidR="00EC2A0C">
        <w:rPr>
          <w:rFonts w:ascii="Arial" w:hAnsi="Arial" w:cs="Arial"/>
        </w:rPr>
        <w:t>Health and Human Services (HHS)</w:t>
      </w:r>
      <w:r w:rsidR="00EC2A0C" w:rsidRPr="00E46674">
        <w:rPr>
          <w:rFonts w:ascii="Arial" w:hAnsi="Arial" w:cs="Arial"/>
        </w:rPr>
        <w:t xml:space="preserve"> </w:t>
      </w:r>
      <w:r w:rsidR="0046776E" w:rsidRPr="00E46674">
        <w:rPr>
          <w:rFonts w:ascii="Arial" w:hAnsi="Arial" w:cs="Arial"/>
        </w:rPr>
        <w:t xml:space="preserve">determines are medically necessary for an individual who is medically at-risk in the event of a climate or manmade disaster. </w:t>
      </w:r>
    </w:p>
    <w:p w14:paraId="3A326C61" w14:textId="6B2ACBBD" w:rsidR="0046776E" w:rsidRPr="00E46674" w:rsidRDefault="0046776E" w:rsidP="0046776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46674">
        <w:rPr>
          <w:rFonts w:ascii="Arial" w:hAnsi="Arial" w:cs="Arial"/>
        </w:rPr>
        <w:t xml:space="preserve">The Secretary shall consult with </w:t>
      </w:r>
      <w:r w:rsidR="00EC2A0C">
        <w:rPr>
          <w:rFonts w:ascii="Arial" w:hAnsi="Arial" w:cs="Arial"/>
        </w:rPr>
        <w:t>the Office of Climate Change and Health Equity</w:t>
      </w:r>
      <w:r w:rsidRPr="00E46674">
        <w:rPr>
          <w:rFonts w:ascii="Arial" w:hAnsi="Arial" w:cs="Arial"/>
        </w:rPr>
        <w:t xml:space="preserve">, </w:t>
      </w:r>
      <w:r w:rsidR="00EC2A0C">
        <w:rPr>
          <w:rFonts w:ascii="Arial" w:hAnsi="Arial" w:cs="Arial"/>
        </w:rPr>
        <w:t>the National Institutes of Health</w:t>
      </w:r>
      <w:r w:rsidRPr="00E46674">
        <w:rPr>
          <w:rFonts w:ascii="Arial" w:hAnsi="Arial" w:cs="Arial"/>
        </w:rPr>
        <w:t xml:space="preserve">, </w:t>
      </w:r>
      <w:r w:rsidR="00EC2A0C">
        <w:rPr>
          <w:rFonts w:ascii="Arial" w:hAnsi="Arial" w:cs="Arial"/>
        </w:rPr>
        <w:t xml:space="preserve">the Centers for </w:t>
      </w:r>
      <w:proofErr w:type="gramStart"/>
      <w:r w:rsidR="00EC2A0C">
        <w:rPr>
          <w:rFonts w:ascii="Arial" w:hAnsi="Arial" w:cs="Arial"/>
        </w:rPr>
        <w:t>Medicare</w:t>
      </w:r>
      <w:proofErr w:type="gramEnd"/>
      <w:r w:rsidR="00EC2A0C">
        <w:rPr>
          <w:rFonts w:ascii="Arial" w:hAnsi="Arial" w:cs="Arial"/>
        </w:rPr>
        <w:t xml:space="preserve"> and Medicaid Services</w:t>
      </w:r>
      <w:r w:rsidRPr="00E46674">
        <w:rPr>
          <w:rFonts w:ascii="Arial" w:hAnsi="Arial" w:cs="Arial"/>
        </w:rPr>
        <w:t xml:space="preserve">, and </w:t>
      </w:r>
      <w:r w:rsidR="00EC2A0C">
        <w:rPr>
          <w:rFonts w:ascii="Arial" w:hAnsi="Arial" w:cs="Arial"/>
        </w:rPr>
        <w:t>the National Oceanic and Atmospheric Administration</w:t>
      </w:r>
      <w:r w:rsidR="00EC2A0C" w:rsidRPr="00E46674">
        <w:rPr>
          <w:rFonts w:ascii="Arial" w:hAnsi="Arial" w:cs="Arial"/>
        </w:rPr>
        <w:t xml:space="preserve"> </w:t>
      </w:r>
      <w:r w:rsidRPr="00E46674">
        <w:rPr>
          <w:rFonts w:ascii="Arial" w:hAnsi="Arial" w:cs="Arial"/>
        </w:rPr>
        <w:t>to establish a process to determine</w:t>
      </w:r>
      <w:r w:rsidR="00EC2A0C">
        <w:rPr>
          <w:rFonts w:ascii="Arial" w:hAnsi="Arial" w:cs="Arial"/>
        </w:rPr>
        <w:t xml:space="preserve"> which</w:t>
      </w:r>
      <w:r w:rsidRPr="00E46674">
        <w:rPr>
          <w:rFonts w:ascii="Arial" w:hAnsi="Arial" w:cs="Arial"/>
        </w:rPr>
        <w:t xml:space="preserve"> individuals</w:t>
      </w:r>
      <w:r w:rsidR="00EC2A0C">
        <w:rPr>
          <w:rFonts w:ascii="Arial" w:hAnsi="Arial" w:cs="Arial"/>
        </w:rPr>
        <w:t xml:space="preserve"> are</w:t>
      </w:r>
      <w:r w:rsidRPr="00E46674">
        <w:rPr>
          <w:rFonts w:ascii="Arial" w:hAnsi="Arial" w:cs="Arial"/>
        </w:rPr>
        <w:t xml:space="preserve"> medically at-risk </w:t>
      </w:r>
      <w:r w:rsidR="00EC2A0C">
        <w:rPr>
          <w:rFonts w:ascii="Arial" w:hAnsi="Arial" w:cs="Arial"/>
        </w:rPr>
        <w:t>from</w:t>
      </w:r>
      <w:r w:rsidR="00EC2A0C" w:rsidRPr="00E46674">
        <w:rPr>
          <w:rFonts w:ascii="Arial" w:hAnsi="Arial" w:cs="Arial"/>
        </w:rPr>
        <w:t xml:space="preserve"> </w:t>
      </w:r>
      <w:r w:rsidRPr="00E46674">
        <w:rPr>
          <w:rFonts w:ascii="Arial" w:hAnsi="Arial" w:cs="Arial"/>
        </w:rPr>
        <w:t>climate</w:t>
      </w:r>
      <w:r w:rsidR="00EC2A0C">
        <w:rPr>
          <w:rFonts w:ascii="Arial" w:hAnsi="Arial" w:cs="Arial"/>
        </w:rPr>
        <w:t>-related</w:t>
      </w:r>
      <w:r w:rsidRPr="00E46674">
        <w:rPr>
          <w:rFonts w:ascii="Arial" w:hAnsi="Arial" w:cs="Arial"/>
        </w:rPr>
        <w:t xml:space="preserve"> or </w:t>
      </w:r>
      <w:r w:rsidR="00EC2A0C">
        <w:rPr>
          <w:rFonts w:ascii="Arial" w:hAnsi="Arial" w:cs="Arial"/>
        </w:rPr>
        <w:t>human-caused</w:t>
      </w:r>
      <w:r w:rsidR="00EC2A0C" w:rsidRPr="00E46674">
        <w:rPr>
          <w:rFonts w:ascii="Arial" w:hAnsi="Arial" w:cs="Arial"/>
        </w:rPr>
        <w:t xml:space="preserve"> </w:t>
      </w:r>
      <w:r w:rsidRPr="00E46674">
        <w:rPr>
          <w:rFonts w:ascii="Arial" w:hAnsi="Arial" w:cs="Arial"/>
        </w:rPr>
        <w:t xml:space="preserve">disasters, including extreme heat, extreme cold, flooding, and loss of power. </w:t>
      </w:r>
    </w:p>
    <w:p w14:paraId="3B7487C6" w14:textId="77777777" w:rsidR="0046776E" w:rsidRPr="00E46674" w:rsidRDefault="0046776E" w:rsidP="0046776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46674">
        <w:rPr>
          <w:rFonts w:ascii="Arial" w:hAnsi="Arial" w:cs="Arial"/>
        </w:rPr>
        <w:t>The process shall consider geographic risk, regional history of disasters, medical reliance on sensitive equipment and supplies, and chronic medical conditions and comorbidities</w:t>
      </w:r>
    </w:p>
    <w:p w14:paraId="3A389395" w14:textId="73F0B0E7" w:rsidR="0046776E" w:rsidRPr="00716982" w:rsidRDefault="0046776E" w:rsidP="004677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6674">
        <w:rPr>
          <w:rFonts w:ascii="Arial" w:hAnsi="Arial" w:cs="Arial"/>
        </w:rPr>
        <w:t xml:space="preserve">Medicare shall cover home resiliency services at 100% coverage. </w:t>
      </w:r>
    </w:p>
    <w:sectPr w:rsidR="0046776E" w:rsidRPr="00716982" w:rsidSect="0071698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3CC4" w14:textId="77777777" w:rsidR="009B0700" w:rsidRDefault="009B0700" w:rsidP="009B0700">
      <w:pPr>
        <w:spacing w:after="0" w:line="240" w:lineRule="auto"/>
      </w:pPr>
      <w:r>
        <w:separator/>
      </w:r>
    </w:p>
  </w:endnote>
  <w:endnote w:type="continuationSeparator" w:id="0">
    <w:p w14:paraId="0A1CAE1F" w14:textId="77777777" w:rsidR="009B0700" w:rsidRDefault="009B0700" w:rsidP="009B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AA6F" w14:textId="77777777" w:rsidR="009B0700" w:rsidRDefault="009B0700" w:rsidP="009B0700">
      <w:pPr>
        <w:spacing w:after="0" w:line="240" w:lineRule="auto"/>
      </w:pPr>
      <w:r>
        <w:separator/>
      </w:r>
    </w:p>
  </w:footnote>
  <w:footnote w:type="continuationSeparator" w:id="0">
    <w:p w14:paraId="4FD53C55" w14:textId="77777777" w:rsidR="009B0700" w:rsidRDefault="009B0700" w:rsidP="009B0700">
      <w:pPr>
        <w:spacing w:after="0" w:line="240" w:lineRule="auto"/>
      </w:pPr>
      <w:r>
        <w:continuationSeparator/>
      </w:r>
    </w:p>
  </w:footnote>
  <w:footnote w:id="1">
    <w:p w14:paraId="5F8A1487" w14:textId="77777777" w:rsidR="00A05C16" w:rsidRPr="00716982" w:rsidRDefault="00A05C16">
      <w:pPr>
        <w:pStyle w:val="FootnoteText"/>
      </w:pPr>
      <w:r w:rsidRPr="00716982">
        <w:rPr>
          <w:rStyle w:val="FootnoteReference"/>
        </w:rPr>
        <w:footnoteRef/>
      </w:r>
      <w:r w:rsidRPr="00716982">
        <w:t xml:space="preserve"> </w:t>
      </w:r>
      <w:r w:rsidR="00E46674" w:rsidRPr="00716982">
        <w:t xml:space="preserve">Alice Wong, </w:t>
      </w:r>
      <w:r w:rsidR="00E46674" w:rsidRPr="00716982">
        <w:rPr>
          <w:i/>
        </w:rPr>
        <w:t>California’s power outages are a life-and-death issue</w:t>
      </w:r>
      <w:r w:rsidR="00E46674" w:rsidRPr="00716982">
        <w:t xml:space="preserve">, High Country News (Jan. 19, 2023), </w:t>
      </w:r>
      <w:hyperlink r:id="rId1" w:history="1">
        <w:r w:rsidRPr="00716982">
          <w:rPr>
            <w:rStyle w:val="Hyperlink"/>
          </w:rPr>
          <w:t>https://www.hcn.org/issues/55.3/ideas-social-justice-californias-power-outages-are-a-life-and-death-issue</w:t>
        </w:r>
      </w:hyperlink>
      <w:r w:rsidRPr="00716982">
        <w:t xml:space="preserve"> </w:t>
      </w:r>
    </w:p>
  </w:footnote>
  <w:footnote w:id="2">
    <w:p w14:paraId="4F425B94" w14:textId="77777777" w:rsidR="00A05C16" w:rsidRPr="00716982" w:rsidRDefault="00A05C16">
      <w:pPr>
        <w:pStyle w:val="FootnoteText"/>
      </w:pPr>
      <w:r w:rsidRPr="00716982">
        <w:rPr>
          <w:rStyle w:val="FootnoteReference"/>
        </w:rPr>
        <w:footnoteRef/>
      </w:r>
      <w:r w:rsidRPr="00716982">
        <w:t xml:space="preserve"> </w:t>
      </w:r>
      <w:r w:rsidR="00E46674" w:rsidRPr="00716982">
        <w:t xml:space="preserve">Nishant Kishore et al., </w:t>
      </w:r>
      <w:r w:rsidR="00E46674" w:rsidRPr="00716982">
        <w:rPr>
          <w:i/>
        </w:rPr>
        <w:t>Mortality in Puerto Rico after Hurricane Maria</w:t>
      </w:r>
      <w:r w:rsidR="00E46674" w:rsidRPr="00716982">
        <w:t xml:space="preserve">, 379 </w:t>
      </w:r>
      <w:proofErr w:type="spellStart"/>
      <w:r w:rsidR="00E46674" w:rsidRPr="00716982">
        <w:t>N.E.J.Med</w:t>
      </w:r>
      <w:proofErr w:type="spellEnd"/>
      <w:r w:rsidR="00E46674" w:rsidRPr="00716982">
        <w:t xml:space="preserve">. 2, 162-170 (Jul. 12, 2018). </w:t>
      </w:r>
    </w:p>
  </w:footnote>
  <w:footnote w:id="3">
    <w:p w14:paraId="3FC0231E" w14:textId="77777777" w:rsidR="00A05C16" w:rsidRPr="00716982" w:rsidRDefault="00A05C16">
      <w:pPr>
        <w:pStyle w:val="FootnoteText"/>
      </w:pPr>
      <w:r w:rsidRPr="00716982">
        <w:rPr>
          <w:rStyle w:val="FootnoteReference"/>
        </w:rPr>
        <w:footnoteRef/>
      </w:r>
      <w:r w:rsidRPr="00716982">
        <w:t xml:space="preserve"> </w:t>
      </w:r>
      <w:proofErr w:type="spellStart"/>
      <w:r w:rsidR="00E46674" w:rsidRPr="00716982">
        <w:t>Anindita</w:t>
      </w:r>
      <w:proofErr w:type="spellEnd"/>
      <w:r w:rsidR="00E46674" w:rsidRPr="00716982">
        <w:t xml:space="preserve"> Issa et al., </w:t>
      </w:r>
      <w:r w:rsidR="00E46674" w:rsidRPr="00716982">
        <w:rPr>
          <w:i/>
        </w:rPr>
        <w:t>Deaths Related to Hurricane Irma—Florida, Georgia, North Carolina, September 4-October 10, 2017</w:t>
      </w:r>
      <w:r w:rsidR="00E46674" w:rsidRPr="00716982">
        <w:t>, 67 Morbidity and Mortality Weekly Report, Centers for Disease Control 30, 829-832 (2018).</w:t>
      </w:r>
      <w:r w:rsidR="00E46674" w:rsidRPr="00716982">
        <w:rPr>
          <w:i/>
        </w:rPr>
        <w:t xml:space="preserve"> </w:t>
      </w:r>
    </w:p>
  </w:footnote>
  <w:footnote w:id="4">
    <w:p w14:paraId="49101462" w14:textId="77777777" w:rsidR="001B6B5B" w:rsidRPr="00716982" w:rsidRDefault="001B6B5B">
      <w:pPr>
        <w:pStyle w:val="FootnoteText"/>
      </w:pPr>
      <w:r w:rsidRPr="00716982">
        <w:rPr>
          <w:rStyle w:val="FootnoteReference"/>
        </w:rPr>
        <w:footnoteRef/>
      </w:r>
      <w:r w:rsidRPr="00716982">
        <w:t xml:space="preserve"> </w:t>
      </w:r>
      <w:proofErr w:type="spellStart"/>
      <w:r w:rsidR="00E46674" w:rsidRPr="00716982">
        <w:t>Marriele</w:t>
      </w:r>
      <w:proofErr w:type="spellEnd"/>
      <w:r w:rsidR="00E46674" w:rsidRPr="00716982">
        <w:t xml:space="preserve"> Mango &amp; Annie Shapiro, </w:t>
      </w:r>
      <w:r w:rsidR="00E46674" w:rsidRPr="00716982">
        <w:rPr>
          <w:i/>
        </w:rPr>
        <w:t>Home Health Care in the Dark</w:t>
      </w:r>
      <w:r w:rsidR="00E46674" w:rsidRPr="00716982">
        <w:t xml:space="preserve">, Clean Energy Group (Jun. 2019), </w:t>
      </w:r>
      <w:hyperlink r:id="rId2" w:history="1">
        <w:r w:rsidRPr="00716982">
          <w:rPr>
            <w:rStyle w:val="Hyperlink"/>
          </w:rPr>
          <w:t>https://www.cleanegroup.org/wp-content/uploads/Home-Health-Care-in-the-Dark.pdf</w:t>
        </w:r>
      </w:hyperlink>
      <w:r w:rsidRPr="00716982">
        <w:t xml:space="preserve"> </w:t>
      </w:r>
    </w:p>
  </w:footnote>
  <w:footnote w:id="5">
    <w:p w14:paraId="08EACF51" w14:textId="63D6FD08" w:rsidR="00FC1DDE" w:rsidRPr="00716982" w:rsidRDefault="00FC1DDE">
      <w:pPr>
        <w:pStyle w:val="FootnoteText"/>
      </w:pPr>
      <w:r w:rsidRPr="00716982">
        <w:rPr>
          <w:rStyle w:val="FootnoteReference"/>
        </w:rPr>
        <w:footnoteRef/>
      </w:r>
      <w:r w:rsidRPr="00716982">
        <w:t xml:space="preserve"> </w:t>
      </w:r>
      <w:r w:rsidR="00E46674" w:rsidRPr="00716982">
        <w:t xml:space="preserve">Rebecca Mann &amp; Jenny Schuetz, </w:t>
      </w:r>
      <w:r w:rsidR="00E46674" w:rsidRPr="00716982">
        <w:rPr>
          <w:i/>
        </w:rPr>
        <w:t>As extreme heat gri</w:t>
      </w:r>
      <w:r w:rsidR="00D71895" w:rsidRPr="00716982">
        <w:rPr>
          <w:i/>
        </w:rPr>
        <w:t>p</w:t>
      </w:r>
      <w:r w:rsidR="00E46674" w:rsidRPr="00716982">
        <w:rPr>
          <w:i/>
        </w:rPr>
        <w:t>s the globe, access to air conditioning is an urgent public health issue</w:t>
      </w:r>
      <w:r w:rsidR="00E46674" w:rsidRPr="00716982">
        <w:t xml:space="preserve">, Brookings Institute (Jul. 25, 2022), </w:t>
      </w:r>
      <w:hyperlink r:id="rId3" w:history="1">
        <w:r w:rsidRPr="00716982">
          <w:rPr>
            <w:rStyle w:val="Hyperlink"/>
          </w:rPr>
          <w:t>https://www.brookings.edu/blog/the-avenue/2022/07/25/as-extreme-heat-grips-the-globe-access-to-air-conditioning-is-an-urgent-public-health-issue/</w:t>
        </w:r>
      </w:hyperlink>
      <w:r w:rsidRPr="00716982">
        <w:t xml:space="preserve"> </w:t>
      </w:r>
    </w:p>
  </w:footnote>
  <w:footnote w:id="6">
    <w:p w14:paraId="3320167E" w14:textId="77777777" w:rsidR="00FC1DDE" w:rsidRDefault="00FC1DDE">
      <w:pPr>
        <w:pStyle w:val="FootnoteText"/>
      </w:pPr>
      <w:r w:rsidRPr="00716982">
        <w:rPr>
          <w:rStyle w:val="FootnoteReference"/>
        </w:rPr>
        <w:footnoteRef/>
      </w:r>
      <w:r w:rsidR="00E46674" w:rsidRPr="00716982">
        <w:t xml:space="preserve"> Amelia Templeton, </w:t>
      </w:r>
      <w:r w:rsidR="00E46674" w:rsidRPr="00716982">
        <w:rPr>
          <w:i/>
        </w:rPr>
        <w:t>Multnomah County: Lack of air conditioning was a prime factor in heat-wave deaths</w:t>
      </w:r>
      <w:r w:rsidR="00E46674" w:rsidRPr="00716982">
        <w:t>, Oregon Public Broadcasting (Jul. 13, 2021),</w:t>
      </w:r>
      <w:r w:rsidRPr="00716982">
        <w:t xml:space="preserve"> </w:t>
      </w:r>
      <w:hyperlink r:id="rId4" w:history="1">
        <w:r w:rsidRPr="00716982">
          <w:rPr>
            <w:rStyle w:val="Hyperlink"/>
          </w:rPr>
          <w:t>https://www.opb.org/article/2021/07/13/portland-oregon-heat-wave-deaths-air-conditioning/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17BF"/>
    <w:multiLevelType w:val="hybridMultilevel"/>
    <w:tmpl w:val="3066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605F"/>
    <w:multiLevelType w:val="hybridMultilevel"/>
    <w:tmpl w:val="F134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143526">
    <w:abstractNumId w:val="0"/>
  </w:num>
  <w:num w:numId="2" w16cid:durableId="58670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6E"/>
    <w:rsid w:val="00166A6E"/>
    <w:rsid w:val="001B6B5B"/>
    <w:rsid w:val="0039596D"/>
    <w:rsid w:val="0046776E"/>
    <w:rsid w:val="00716982"/>
    <w:rsid w:val="009B0700"/>
    <w:rsid w:val="009C418B"/>
    <w:rsid w:val="00A05C16"/>
    <w:rsid w:val="00C80B59"/>
    <w:rsid w:val="00CA584D"/>
    <w:rsid w:val="00D71895"/>
    <w:rsid w:val="00DB7D01"/>
    <w:rsid w:val="00E35DDB"/>
    <w:rsid w:val="00E46674"/>
    <w:rsid w:val="00E91780"/>
    <w:rsid w:val="00EC2A0C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8741"/>
  <w15:chartTrackingRefBased/>
  <w15:docId w15:val="{3566FEBC-BDD3-4175-A829-2B5C826F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76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07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7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7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07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B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1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8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8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rookings.edu/blog/the-avenue/2022/07/25/as-extreme-heat-grips-the-globe-access-to-air-conditioning-is-an-urgent-public-health-issue/" TargetMode="External"/><Relationship Id="rId2" Type="http://schemas.openxmlformats.org/officeDocument/2006/relationships/hyperlink" Target="https://www.cleanegroup.org/wp-content/uploads/Home-Health-Care-in-the-Dark.pdf" TargetMode="External"/><Relationship Id="rId1" Type="http://schemas.openxmlformats.org/officeDocument/2006/relationships/hyperlink" Target="https://www.hcn.org/issues/55.3/ideas-social-justice-californias-power-outages-are-a-life-and-death-issue" TargetMode="External"/><Relationship Id="rId4" Type="http://schemas.openxmlformats.org/officeDocument/2006/relationships/hyperlink" Target="https://www.opb.org/article/2021/07/13/portland-oregon-heat-wave-deaths-air-conditio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C3295-8155-4569-BF36-C0DF1A49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Lucy (Markey)</dc:creator>
  <cp:keywords/>
  <dc:description/>
  <cp:lastModifiedBy>Olivia Babis Keller</cp:lastModifiedBy>
  <cp:revision>2</cp:revision>
  <dcterms:created xsi:type="dcterms:W3CDTF">2023-06-30T18:46:00Z</dcterms:created>
  <dcterms:modified xsi:type="dcterms:W3CDTF">2023-06-30T18:46:00Z</dcterms:modified>
</cp:coreProperties>
</file>